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561D08" w:rsidRPr="00E03991" w14:paraId="077DB947" w14:textId="77777777" w:rsidTr="00561D08">
        <w:trPr>
          <w:trHeight w:val="311"/>
        </w:trPr>
        <w:tc>
          <w:tcPr>
            <w:tcW w:w="1457" w:type="dxa"/>
            <w:shd w:val="clear" w:color="auto" w:fill="7030A0"/>
          </w:tcPr>
          <w:p w14:paraId="056694B2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410068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B631A06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Secretariat Meeting</w:t>
            </w:r>
          </w:p>
          <w:p w14:paraId="33EA3C36" w14:textId="40608382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Monday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4A9E7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7030A0"/>
          </w:tcPr>
          <w:p w14:paraId="7FC6C4ED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 Attendance:</w:t>
            </w:r>
          </w:p>
        </w:tc>
      </w:tr>
      <w:tr w:rsidR="00561D08" w:rsidRPr="00E03991" w14:paraId="3FDE4263" w14:textId="77777777" w:rsidTr="00561D08">
        <w:trPr>
          <w:trHeight w:val="58"/>
        </w:trPr>
        <w:tc>
          <w:tcPr>
            <w:tcW w:w="1457" w:type="dxa"/>
            <w:shd w:val="clear" w:color="auto" w:fill="7030A0"/>
          </w:tcPr>
          <w:p w14:paraId="7D3991F6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A17AE9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50FE3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5E196020" w14:textId="7951F6CE" w:rsidR="00561D08" w:rsidRPr="00E03991" w:rsidRDefault="004C3612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>Ann Murphy</w:t>
            </w:r>
            <w:r w:rsidR="00B96BB3" w:rsidRPr="00E03991">
              <w:rPr>
                <w:rFonts w:ascii="Arial" w:hAnsi="Arial" w:cs="Arial"/>
                <w:iCs/>
                <w:sz w:val="24"/>
                <w:szCs w:val="24"/>
              </w:rPr>
              <w:t xml:space="preserve">    </w:t>
            </w:r>
            <w:r w:rsidR="00F155C9" w:rsidRPr="00E03991">
              <w:rPr>
                <w:rFonts w:ascii="Arial" w:hAnsi="Arial" w:cs="Arial"/>
                <w:iCs/>
                <w:sz w:val="24"/>
                <w:szCs w:val="24"/>
              </w:rPr>
              <w:t xml:space="preserve">         </w:t>
            </w:r>
            <w:r w:rsidR="00B96BB3" w:rsidRPr="00E03991">
              <w:rPr>
                <w:rFonts w:ascii="Arial" w:hAnsi="Arial" w:cs="Arial"/>
                <w:iCs/>
                <w:sz w:val="24"/>
                <w:szCs w:val="24"/>
              </w:rPr>
              <w:t>Facilitator – New Ross MD Rep</w:t>
            </w:r>
          </w:p>
          <w:p w14:paraId="70609860" w14:textId="6CCA4429" w:rsidR="00F155C9" w:rsidRPr="00E03991" w:rsidRDefault="00F155C9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Bernard O’Leary      Enniscorthy MD </w:t>
            </w:r>
            <w:r w:rsidR="00B5632E" w:rsidRPr="00E03991"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="007F1635" w:rsidRPr="00E03991">
              <w:rPr>
                <w:rFonts w:ascii="Arial" w:hAnsi="Arial" w:cs="Arial"/>
                <w:iCs/>
                <w:sz w:val="24"/>
                <w:szCs w:val="24"/>
              </w:rPr>
              <w:t>ep</w:t>
            </w:r>
          </w:p>
          <w:p w14:paraId="2548AD69" w14:textId="26A5C0AC" w:rsidR="00F155C9" w:rsidRPr="00E03991" w:rsidRDefault="00551F4D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Davie Rea              </w:t>
            </w:r>
            <w:r w:rsidR="00B5632E" w:rsidRPr="00E0399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 Rosslare MD Rep </w:t>
            </w:r>
          </w:p>
          <w:p w14:paraId="484648D4" w14:textId="56C3655E" w:rsidR="00B5632E" w:rsidRPr="00E03991" w:rsidRDefault="002923B4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Kevin Molloy            </w:t>
            </w:r>
            <w:r w:rsidR="0084259C" w:rsidRPr="00E03991">
              <w:rPr>
                <w:rFonts w:ascii="Arial" w:hAnsi="Arial" w:cs="Arial"/>
                <w:iCs/>
                <w:sz w:val="24"/>
                <w:szCs w:val="24"/>
              </w:rPr>
              <w:t>Gorey MD Rep</w:t>
            </w:r>
          </w:p>
          <w:p w14:paraId="18C698F8" w14:textId="5D76E1D2" w:rsidR="00B96BB3" w:rsidRPr="00E03991" w:rsidRDefault="00132EE2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Breda Cahill             Community &amp; Voluntary </w:t>
            </w:r>
            <w:r w:rsidR="001B2ADC" w:rsidRPr="00E03991">
              <w:rPr>
                <w:rFonts w:ascii="Arial" w:hAnsi="Arial" w:cs="Arial"/>
                <w:iCs/>
                <w:sz w:val="24"/>
                <w:szCs w:val="24"/>
              </w:rPr>
              <w:t>Rep</w:t>
            </w:r>
          </w:p>
          <w:p w14:paraId="13A67C60" w14:textId="1C6FC011" w:rsidR="001B2ADC" w:rsidRPr="00E03991" w:rsidRDefault="001B2ADC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>Ann Lacey                Social Inclusion Rep</w:t>
            </w:r>
          </w:p>
          <w:p w14:paraId="0C1729FF" w14:textId="314791D1" w:rsidR="00B12BFB" w:rsidRPr="00E03991" w:rsidRDefault="00B12BFB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>John Kirwan             Social Inclusion Rep</w:t>
            </w:r>
          </w:p>
          <w:p w14:paraId="0E53CCA3" w14:textId="4B9549C9" w:rsidR="001B2ADC" w:rsidRPr="00E03991" w:rsidRDefault="00E17AC7" w:rsidP="00E17AC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Staff                         </w:t>
            </w:r>
            <w:r w:rsidR="00F94008" w:rsidRPr="00E039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Mary Byrne &amp; Sue Kent</w:t>
            </w:r>
          </w:p>
        </w:tc>
      </w:tr>
      <w:tr w:rsidR="00561D08" w:rsidRPr="00E03991" w14:paraId="70D3EA4A" w14:textId="77777777" w:rsidTr="00561D08">
        <w:trPr>
          <w:trHeight w:val="709"/>
        </w:trPr>
        <w:tc>
          <w:tcPr>
            <w:tcW w:w="1457" w:type="dxa"/>
            <w:shd w:val="clear" w:color="auto" w:fill="7030A0"/>
          </w:tcPr>
          <w:p w14:paraId="4CA59A25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Date of Meeting </w:t>
            </w:r>
          </w:p>
          <w:p w14:paraId="0817508A" w14:textId="77777777" w:rsidR="00561D08" w:rsidRPr="00E03991" w:rsidRDefault="00561D08" w:rsidP="00561D08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1798279" w14:textId="6E381E7C" w:rsidR="00561D08" w:rsidRPr="00E03991" w:rsidRDefault="00DC64F9" w:rsidP="00561D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DC64F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2026</w:t>
            </w:r>
          </w:p>
          <w:p w14:paraId="2D8F023F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@ 10.30am</w:t>
            </w:r>
          </w:p>
          <w:p w14:paraId="6255FDC2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4DCC6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In person </w:t>
            </w:r>
          </w:p>
          <w:p w14:paraId="27C65945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B6E86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vMerge/>
          </w:tcPr>
          <w:p w14:paraId="71AC0F4D" w14:textId="77777777" w:rsidR="00561D08" w:rsidRPr="00E03991" w:rsidRDefault="00561D08" w:rsidP="00561D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D019B0" w14:textId="77777777" w:rsidR="00D72F95" w:rsidRPr="00E03991" w:rsidRDefault="00561D08" w:rsidP="00D72F95">
      <w:pPr>
        <w:rPr>
          <w:rFonts w:ascii="Arial" w:hAnsi="Arial" w:cs="Arial"/>
        </w:rPr>
      </w:pPr>
      <w:r w:rsidRPr="00E0399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6D6F27" wp14:editId="514DE490">
            <wp:simplePos x="0" y="0"/>
            <wp:positionH relativeFrom="column">
              <wp:posOffset>7747495</wp:posOffset>
            </wp:positionH>
            <wp:positionV relativeFrom="paragraph">
              <wp:posOffset>-101006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1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31B5" w14:textId="77777777" w:rsidR="00D72F95" w:rsidRPr="00E03991" w:rsidRDefault="00D72F95" w:rsidP="00D72F95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D72F95" w:rsidRPr="00E03991" w14:paraId="32019F8A" w14:textId="77777777" w:rsidTr="00913921">
        <w:tc>
          <w:tcPr>
            <w:tcW w:w="1555" w:type="dxa"/>
            <w:shd w:val="clear" w:color="auto" w:fill="7030A0"/>
          </w:tcPr>
          <w:p w14:paraId="1F5DAC25" w14:textId="77777777" w:rsidR="00D72F95" w:rsidRPr="00E03991" w:rsidRDefault="00D72F95" w:rsidP="00936D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3676" w:type="dxa"/>
            <w:shd w:val="clear" w:color="auto" w:fill="7030A0"/>
          </w:tcPr>
          <w:p w14:paraId="67A1D48A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7380" w:type="dxa"/>
            <w:shd w:val="clear" w:color="auto" w:fill="7030A0"/>
          </w:tcPr>
          <w:p w14:paraId="4663AED0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Outcome / Decisions Made</w:t>
            </w:r>
          </w:p>
        </w:tc>
        <w:tc>
          <w:tcPr>
            <w:tcW w:w="2410" w:type="dxa"/>
            <w:shd w:val="clear" w:color="auto" w:fill="7030A0"/>
          </w:tcPr>
          <w:p w14:paraId="793644FD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Actions Required – By whom and when</w:t>
            </w:r>
          </w:p>
        </w:tc>
      </w:tr>
      <w:tr w:rsidR="00D72F95" w:rsidRPr="00E03991" w14:paraId="0AC2CD74" w14:textId="77777777" w:rsidTr="00936DF7">
        <w:tc>
          <w:tcPr>
            <w:tcW w:w="1555" w:type="dxa"/>
          </w:tcPr>
          <w:p w14:paraId="03522DE7" w14:textId="77777777" w:rsidR="00D72F95" w:rsidRPr="00E03991" w:rsidRDefault="00D72F95" w:rsidP="00D72F95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</w:tcPr>
          <w:p w14:paraId="02B7B650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Welcome and apologies.</w:t>
            </w:r>
          </w:p>
        </w:tc>
        <w:tc>
          <w:tcPr>
            <w:tcW w:w="7380" w:type="dxa"/>
          </w:tcPr>
          <w:p w14:paraId="02A3F27B" w14:textId="4776A437" w:rsidR="00944128" w:rsidRPr="00E03991" w:rsidRDefault="004B6F26" w:rsidP="00A01B9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Apologies</w:t>
            </w:r>
            <w:r w:rsidR="00711513" w:rsidRPr="00E03991">
              <w:rPr>
                <w:rFonts w:ascii="Arial" w:hAnsi="Arial" w:cs="Arial"/>
                <w:sz w:val="24"/>
                <w:szCs w:val="24"/>
              </w:rPr>
              <w:t xml:space="preserve"> from Patrick Rochford</w:t>
            </w:r>
          </w:p>
        </w:tc>
        <w:tc>
          <w:tcPr>
            <w:tcW w:w="2410" w:type="dxa"/>
          </w:tcPr>
          <w:p w14:paraId="669A1C58" w14:textId="77777777" w:rsidR="00D72F95" w:rsidRPr="00E03991" w:rsidRDefault="00E90F92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No quorum achieved</w:t>
            </w:r>
            <w:r w:rsidR="00356622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3E36A2" w14:textId="77777777" w:rsidR="00356622" w:rsidRPr="00E03991" w:rsidRDefault="00356622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F95" w:rsidRPr="00E03991" w14:paraId="56943183" w14:textId="77777777" w:rsidTr="00936DF7">
        <w:tc>
          <w:tcPr>
            <w:tcW w:w="1555" w:type="dxa"/>
          </w:tcPr>
          <w:p w14:paraId="6E50A47E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14:paraId="26C36F4F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Agreement of Minutes </w:t>
            </w:r>
          </w:p>
          <w:p w14:paraId="3291F527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476AFA3" w14:textId="6324C749" w:rsidR="00D72F95" w:rsidRPr="00E03991" w:rsidRDefault="00711513" w:rsidP="009359BC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Minutes were agreed.</w:t>
            </w:r>
            <w:r w:rsidR="009359BC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57D" w:rsidRPr="00E03991">
              <w:rPr>
                <w:rFonts w:ascii="Arial" w:hAnsi="Arial" w:cs="Arial"/>
                <w:sz w:val="24"/>
                <w:szCs w:val="24"/>
              </w:rPr>
              <w:t>P</w:t>
            </w:r>
            <w:r w:rsidRPr="00E03991">
              <w:rPr>
                <w:rFonts w:ascii="Arial" w:hAnsi="Arial" w:cs="Arial"/>
                <w:sz w:val="24"/>
                <w:szCs w:val="24"/>
              </w:rPr>
              <w:t>roposed by</w:t>
            </w:r>
            <w:r w:rsidR="009843A6">
              <w:rPr>
                <w:rFonts w:ascii="Arial" w:hAnsi="Arial" w:cs="Arial"/>
                <w:sz w:val="24"/>
                <w:szCs w:val="24"/>
              </w:rPr>
              <w:t>: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Davie</w:t>
            </w:r>
            <w:r w:rsidR="009359BC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57D" w:rsidRPr="00E03991">
              <w:rPr>
                <w:rFonts w:ascii="Arial" w:hAnsi="Arial" w:cs="Arial"/>
                <w:sz w:val="24"/>
                <w:szCs w:val="24"/>
              </w:rPr>
              <w:t>Seconded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by</w:t>
            </w:r>
            <w:r w:rsidR="009843A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Bernard</w:t>
            </w:r>
          </w:p>
        </w:tc>
        <w:tc>
          <w:tcPr>
            <w:tcW w:w="2410" w:type="dxa"/>
          </w:tcPr>
          <w:p w14:paraId="783CCB37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F65D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F95" w:rsidRPr="00E03991" w14:paraId="0D4FFB43" w14:textId="77777777" w:rsidTr="00936DF7">
        <w:tc>
          <w:tcPr>
            <w:tcW w:w="1555" w:type="dxa"/>
          </w:tcPr>
          <w:p w14:paraId="0E3C65BB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14:paraId="3E176311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Matters arising from the minutes</w:t>
            </w:r>
          </w:p>
          <w:p w14:paraId="22405C7E" w14:textId="77777777" w:rsidR="00A03076" w:rsidRPr="00E03991" w:rsidRDefault="00A03076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A291508" w14:textId="6D6958DE" w:rsidR="00D72F95" w:rsidRPr="00E03991" w:rsidRDefault="00B0057D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No matters arising</w:t>
            </w:r>
          </w:p>
        </w:tc>
        <w:tc>
          <w:tcPr>
            <w:tcW w:w="2410" w:type="dxa"/>
          </w:tcPr>
          <w:p w14:paraId="3518A3C8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F95" w:rsidRPr="00E03991" w14:paraId="71E4A7E8" w14:textId="77777777" w:rsidTr="00403670">
        <w:trPr>
          <w:trHeight w:val="1833"/>
        </w:trPr>
        <w:tc>
          <w:tcPr>
            <w:tcW w:w="1555" w:type="dxa"/>
          </w:tcPr>
          <w:p w14:paraId="5066F761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3676" w:type="dxa"/>
          </w:tcPr>
          <w:p w14:paraId="192D2D5E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New Group Registrations</w:t>
            </w:r>
          </w:p>
          <w:p w14:paraId="75321C8D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9"/>
              <w:gridCol w:w="2064"/>
              <w:gridCol w:w="2151"/>
            </w:tblGrid>
            <w:tr w:rsidR="00406D23" w:rsidRPr="00E03991" w14:paraId="4856A655" w14:textId="77777777" w:rsidTr="00936DF7">
              <w:tc>
                <w:tcPr>
                  <w:tcW w:w="4531" w:type="dxa"/>
                </w:tcPr>
                <w:p w14:paraId="07F4D394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Ferns Community Centre</w:t>
                  </w:r>
                </w:p>
              </w:tc>
              <w:tc>
                <w:tcPr>
                  <w:tcW w:w="2835" w:type="dxa"/>
                </w:tcPr>
                <w:p w14:paraId="56658398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0F764C37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MD</w:t>
                  </w:r>
                </w:p>
              </w:tc>
            </w:tr>
            <w:tr w:rsidR="00406D23" w:rsidRPr="00E03991" w14:paraId="7B9F2CB8" w14:textId="77777777" w:rsidTr="00936DF7">
              <w:tc>
                <w:tcPr>
                  <w:tcW w:w="4531" w:type="dxa"/>
                </w:tcPr>
                <w:p w14:paraId="3F37E83D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Ukrainian Song New Ross</w:t>
                  </w:r>
                </w:p>
              </w:tc>
              <w:tc>
                <w:tcPr>
                  <w:tcW w:w="2835" w:type="dxa"/>
                </w:tcPr>
                <w:p w14:paraId="5ED55270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38C86A34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New Ross MD</w:t>
                  </w:r>
                </w:p>
              </w:tc>
            </w:tr>
            <w:tr w:rsidR="00406D23" w:rsidRPr="00E03991" w14:paraId="41884BAB" w14:textId="77777777" w:rsidTr="00936DF7">
              <w:tc>
                <w:tcPr>
                  <w:tcW w:w="4531" w:type="dxa"/>
                </w:tcPr>
                <w:p w14:paraId="24839B43" w14:textId="3B4C32D2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Chess Club</w:t>
                  </w:r>
                </w:p>
              </w:tc>
              <w:tc>
                <w:tcPr>
                  <w:tcW w:w="2835" w:type="dxa"/>
                </w:tcPr>
                <w:p w14:paraId="67E81C19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Community &amp; Voluntary </w:t>
                  </w:r>
                </w:p>
              </w:tc>
              <w:tc>
                <w:tcPr>
                  <w:tcW w:w="2835" w:type="dxa"/>
                </w:tcPr>
                <w:p w14:paraId="4E8AE537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MD</w:t>
                  </w:r>
                </w:p>
              </w:tc>
            </w:tr>
            <w:tr w:rsidR="00406D23" w:rsidRPr="00E03991" w14:paraId="2504382B" w14:textId="77777777" w:rsidTr="00936DF7">
              <w:tc>
                <w:tcPr>
                  <w:tcW w:w="4531" w:type="dxa"/>
                </w:tcPr>
                <w:p w14:paraId="24CBAD0C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Camolin Community Development Association CLG</w:t>
                  </w:r>
                </w:p>
              </w:tc>
              <w:tc>
                <w:tcPr>
                  <w:tcW w:w="2835" w:type="dxa"/>
                </w:tcPr>
                <w:p w14:paraId="34BA7B9A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Community &amp; Voluntary </w:t>
                  </w:r>
                </w:p>
              </w:tc>
              <w:tc>
                <w:tcPr>
                  <w:tcW w:w="2835" w:type="dxa"/>
                </w:tcPr>
                <w:p w14:paraId="71249F67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Gorey-</w:t>
                  </w:r>
                  <w:proofErr w:type="spellStart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Kilmuckridge</w:t>
                  </w:r>
                  <w:proofErr w:type="spellEnd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 MD</w:t>
                  </w:r>
                </w:p>
              </w:tc>
            </w:tr>
            <w:tr w:rsidR="00406D23" w:rsidRPr="00E03991" w14:paraId="024A2D05" w14:textId="77777777" w:rsidTr="00936DF7">
              <w:tc>
                <w:tcPr>
                  <w:tcW w:w="4531" w:type="dxa"/>
                </w:tcPr>
                <w:p w14:paraId="2DEB85F1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Ferns Dramatic Society</w:t>
                  </w:r>
                </w:p>
              </w:tc>
              <w:tc>
                <w:tcPr>
                  <w:tcW w:w="2835" w:type="dxa"/>
                </w:tcPr>
                <w:p w14:paraId="3F7E2A7E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66310999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MD</w:t>
                  </w:r>
                </w:p>
              </w:tc>
            </w:tr>
            <w:tr w:rsidR="00406D23" w:rsidRPr="00E03991" w14:paraId="740B348C" w14:textId="77777777" w:rsidTr="00936DF7">
              <w:tc>
                <w:tcPr>
                  <w:tcW w:w="4531" w:type="dxa"/>
                </w:tcPr>
                <w:p w14:paraId="72ADC4A6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Ferrycarrig</w:t>
                  </w:r>
                  <w:proofErr w:type="spellEnd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 Rowing Club</w:t>
                  </w:r>
                </w:p>
              </w:tc>
              <w:tc>
                <w:tcPr>
                  <w:tcW w:w="2835" w:type="dxa"/>
                </w:tcPr>
                <w:p w14:paraId="0F5DF81D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230438FE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Wexford MD</w:t>
                  </w:r>
                </w:p>
              </w:tc>
            </w:tr>
            <w:tr w:rsidR="00406D23" w:rsidRPr="00E03991" w14:paraId="2DCFF759" w14:textId="77777777" w:rsidTr="00936DF7">
              <w:tc>
                <w:tcPr>
                  <w:tcW w:w="4531" w:type="dxa"/>
                </w:tcPr>
                <w:p w14:paraId="6CEBDB9D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St. Coleman’s Residents Association</w:t>
                  </w:r>
                </w:p>
              </w:tc>
              <w:tc>
                <w:tcPr>
                  <w:tcW w:w="2835" w:type="dxa"/>
                </w:tcPr>
                <w:p w14:paraId="2F550082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Community &amp; Voluntary </w:t>
                  </w:r>
                </w:p>
              </w:tc>
              <w:tc>
                <w:tcPr>
                  <w:tcW w:w="2835" w:type="dxa"/>
                </w:tcPr>
                <w:p w14:paraId="6B015969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MD</w:t>
                  </w:r>
                </w:p>
              </w:tc>
            </w:tr>
            <w:tr w:rsidR="00406D23" w:rsidRPr="00E03991" w14:paraId="71C95A50" w14:textId="77777777" w:rsidTr="00936DF7">
              <w:tc>
                <w:tcPr>
                  <w:tcW w:w="4531" w:type="dxa"/>
                </w:tcPr>
                <w:p w14:paraId="1E50E1E2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Tombrack</w:t>
                  </w:r>
                  <w:proofErr w:type="spellEnd"/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 Community Hall</w:t>
                  </w:r>
                </w:p>
              </w:tc>
              <w:tc>
                <w:tcPr>
                  <w:tcW w:w="2835" w:type="dxa"/>
                </w:tcPr>
                <w:p w14:paraId="1FF658B2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 xml:space="preserve">Community &amp; Voluntary </w:t>
                  </w:r>
                </w:p>
              </w:tc>
              <w:tc>
                <w:tcPr>
                  <w:tcW w:w="2835" w:type="dxa"/>
                </w:tcPr>
                <w:p w14:paraId="48B563FA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 MD</w:t>
                  </w:r>
                </w:p>
              </w:tc>
            </w:tr>
            <w:tr w:rsidR="00406D23" w:rsidRPr="00E03991" w14:paraId="03D4B372" w14:textId="77777777" w:rsidTr="00936DF7">
              <w:tc>
                <w:tcPr>
                  <w:tcW w:w="4531" w:type="dxa"/>
                </w:tcPr>
                <w:p w14:paraId="549AAFDD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Brazilian Community Group</w:t>
                  </w:r>
                </w:p>
              </w:tc>
              <w:tc>
                <w:tcPr>
                  <w:tcW w:w="2835" w:type="dxa"/>
                </w:tcPr>
                <w:p w14:paraId="4D59946A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009F8C44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Wexford MD</w:t>
                  </w:r>
                </w:p>
              </w:tc>
            </w:tr>
            <w:tr w:rsidR="00406D23" w:rsidRPr="00E03991" w14:paraId="789CF734" w14:textId="77777777" w:rsidTr="00936DF7">
              <w:tc>
                <w:tcPr>
                  <w:tcW w:w="4531" w:type="dxa"/>
                </w:tcPr>
                <w:p w14:paraId="11F4CC5F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Slaney Search &amp; Rescue</w:t>
                  </w:r>
                </w:p>
              </w:tc>
              <w:tc>
                <w:tcPr>
                  <w:tcW w:w="2835" w:type="dxa"/>
                </w:tcPr>
                <w:p w14:paraId="77512112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Community &amp; Voluntary</w:t>
                  </w:r>
                </w:p>
              </w:tc>
              <w:tc>
                <w:tcPr>
                  <w:tcW w:w="2835" w:type="dxa"/>
                </w:tcPr>
                <w:p w14:paraId="7E6EB830" w14:textId="77777777" w:rsidR="00406D23" w:rsidRPr="00E03991" w:rsidRDefault="00406D23" w:rsidP="00406D2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991">
                    <w:rPr>
                      <w:rFonts w:ascii="Arial" w:hAnsi="Arial" w:cs="Arial"/>
                      <w:sz w:val="24"/>
                      <w:szCs w:val="24"/>
                    </w:rPr>
                    <w:t>Enniscorthy</w:t>
                  </w:r>
                </w:p>
              </w:tc>
            </w:tr>
          </w:tbl>
          <w:p w14:paraId="0A72EA6C" w14:textId="77AEDD8E" w:rsidR="00505EE2" w:rsidRPr="00E03991" w:rsidRDefault="00505EE2" w:rsidP="00505EE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DA5B6D" w14:textId="2654CAC5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F2682C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33852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5E1F361" w14:textId="77777777" w:rsidTr="00936DF7">
        <w:tc>
          <w:tcPr>
            <w:tcW w:w="1555" w:type="dxa"/>
          </w:tcPr>
          <w:p w14:paraId="6C0A74E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5.                     </w:t>
            </w:r>
          </w:p>
        </w:tc>
        <w:tc>
          <w:tcPr>
            <w:tcW w:w="3676" w:type="dxa"/>
          </w:tcPr>
          <w:p w14:paraId="6832B07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PPN Rep Vacancies</w:t>
            </w:r>
          </w:p>
        </w:tc>
        <w:tc>
          <w:tcPr>
            <w:tcW w:w="7380" w:type="dxa"/>
          </w:tcPr>
          <w:p w14:paraId="350CB0AF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Wexford County Council Public Art Working Group Representative </w:t>
            </w:r>
          </w:p>
          <w:p w14:paraId="286E2162" w14:textId="2F5D53B6" w:rsidR="00E00310" w:rsidRPr="00E03991" w:rsidRDefault="00E00310" w:rsidP="00B11812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2 applicants received, one invalid. Valid application forwarded to Wexford Arts Office for consideration.</w:t>
            </w:r>
            <w:r w:rsidR="00B11812" w:rsidRPr="00E0399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03991">
              <w:rPr>
                <w:rFonts w:ascii="Arial" w:hAnsi="Arial" w:cs="Arial"/>
                <w:sz w:val="24"/>
                <w:szCs w:val="24"/>
              </w:rPr>
              <w:t>Vacancies on SP</w:t>
            </w:r>
            <w:r w:rsidR="004B6F26" w:rsidRPr="00E03991">
              <w:rPr>
                <w:rFonts w:ascii="Arial" w:hAnsi="Arial" w:cs="Arial"/>
                <w:sz w:val="24"/>
                <w:szCs w:val="24"/>
              </w:rPr>
              <w:t>C</w:t>
            </w:r>
            <w:r w:rsidRPr="00E03991">
              <w:rPr>
                <w:rFonts w:ascii="Arial" w:hAnsi="Arial" w:cs="Arial"/>
                <w:sz w:val="24"/>
                <w:szCs w:val="24"/>
              </w:rPr>
              <w:t>’s and Secretariat</w:t>
            </w:r>
            <w:r w:rsidR="004B6F26" w:rsidRPr="00E03991">
              <w:rPr>
                <w:rFonts w:ascii="Arial" w:hAnsi="Arial" w:cs="Arial"/>
                <w:sz w:val="24"/>
                <w:szCs w:val="24"/>
              </w:rPr>
              <w:t xml:space="preserve"> will continue to be advertised.</w:t>
            </w:r>
          </w:p>
        </w:tc>
        <w:tc>
          <w:tcPr>
            <w:tcW w:w="2410" w:type="dxa"/>
          </w:tcPr>
          <w:p w14:paraId="240383BF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2333D398" w14:textId="77777777" w:rsidTr="00936DF7">
        <w:tc>
          <w:tcPr>
            <w:tcW w:w="1555" w:type="dxa"/>
          </w:tcPr>
          <w:p w14:paraId="3842A48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</w:tcPr>
          <w:p w14:paraId="6FAEDC81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TEABREAK</w:t>
            </w:r>
          </w:p>
        </w:tc>
        <w:tc>
          <w:tcPr>
            <w:tcW w:w="7380" w:type="dxa"/>
          </w:tcPr>
          <w:p w14:paraId="224E3EAC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C6FF1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7583FB81" w14:textId="77777777" w:rsidTr="00A03076">
        <w:trPr>
          <w:trHeight w:val="343"/>
        </w:trPr>
        <w:tc>
          <w:tcPr>
            <w:tcW w:w="1555" w:type="dxa"/>
          </w:tcPr>
          <w:p w14:paraId="16492C5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3676" w:type="dxa"/>
          </w:tcPr>
          <w:p w14:paraId="1036A8F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Financial Report</w:t>
            </w:r>
          </w:p>
        </w:tc>
        <w:tc>
          <w:tcPr>
            <w:tcW w:w="7380" w:type="dxa"/>
          </w:tcPr>
          <w:p w14:paraId="1BFD281C" w14:textId="795F7076" w:rsidR="00E00310" w:rsidRPr="00E03991" w:rsidRDefault="00156D26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End of year reports are being run and finalised.  </w:t>
            </w:r>
            <w:r w:rsidR="00F42A3F" w:rsidRPr="00E03991">
              <w:rPr>
                <w:rFonts w:ascii="Arial" w:hAnsi="Arial" w:cs="Arial"/>
                <w:sz w:val="24"/>
                <w:szCs w:val="24"/>
              </w:rPr>
              <w:t xml:space="preserve">There will be an underspend for </w:t>
            </w:r>
            <w:r w:rsidR="00DC64F9" w:rsidRPr="00E03991">
              <w:rPr>
                <w:rFonts w:ascii="Arial" w:hAnsi="Arial" w:cs="Arial"/>
                <w:sz w:val="24"/>
                <w:szCs w:val="24"/>
              </w:rPr>
              <w:t>2025</w:t>
            </w:r>
            <w:r w:rsidR="00DC64F9" w:rsidRPr="00E03991">
              <w:rPr>
                <w:rFonts w:ascii="Arial" w:hAnsi="Arial" w:cs="Arial"/>
              </w:rPr>
              <w:t>,</w:t>
            </w:r>
            <w:r w:rsidR="00F42A3F" w:rsidRPr="00E03991">
              <w:rPr>
                <w:rFonts w:ascii="Arial" w:hAnsi="Arial" w:cs="Arial"/>
                <w:sz w:val="24"/>
                <w:szCs w:val="24"/>
              </w:rPr>
              <w:t xml:space="preserve"> and a request will be made to DRCDG when figures finalised. </w:t>
            </w:r>
          </w:p>
          <w:p w14:paraId="59F870DE" w14:textId="77777777" w:rsidR="00E00310" w:rsidRPr="00E03991" w:rsidRDefault="00E00310" w:rsidP="00E0031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EE56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76C01A5E" w14:textId="77777777" w:rsidTr="00A03076">
        <w:trPr>
          <w:trHeight w:val="293"/>
        </w:trPr>
        <w:tc>
          <w:tcPr>
            <w:tcW w:w="1555" w:type="dxa"/>
          </w:tcPr>
          <w:p w14:paraId="6354888F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14:paraId="3D07CA2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Environmental Linkage Groups</w:t>
            </w:r>
          </w:p>
          <w:p w14:paraId="6EE37C88" w14:textId="10BF06B7" w:rsidR="00E00310" w:rsidRPr="00E03991" w:rsidRDefault="002B2C99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Social Inclusion</w:t>
            </w:r>
          </w:p>
        </w:tc>
        <w:tc>
          <w:tcPr>
            <w:tcW w:w="7380" w:type="dxa"/>
          </w:tcPr>
          <w:p w14:paraId="282D4DFE" w14:textId="127AA9D0" w:rsidR="00E00310" w:rsidRPr="00E03991" w:rsidRDefault="00845485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Talks are ongoing with Healthy Wexford</w:t>
            </w:r>
            <w:r w:rsidR="004820A2" w:rsidRPr="00E03991">
              <w:rPr>
                <w:rFonts w:ascii="Arial" w:hAnsi="Arial" w:cs="Arial"/>
                <w:sz w:val="24"/>
                <w:szCs w:val="24"/>
              </w:rPr>
              <w:t>,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Wexford Volunteers &amp; WLD on running cou</w:t>
            </w:r>
            <w:r w:rsidR="007A3E26" w:rsidRPr="00E03991">
              <w:rPr>
                <w:rFonts w:ascii="Arial" w:hAnsi="Arial" w:cs="Arial"/>
                <w:sz w:val="24"/>
                <w:szCs w:val="24"/>
              </w:rPr>
              <w:t>rses and events for Social Inclusion, Environmental and Community Groups.</w:t>
            </w:r>
          </w:p>
        </w:tc>
        <w:tc>
          <w:tcPr>
            <w:tcW w:w="2410" w:type="dxa"/>
          </w:tcPr>
          <w:p w14:paraId="6D15C1FE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70D11C1" w14:textId="77777777" w:rsidTr="00936DF7">
        <w:tc>
          <w:tcPr>
            <w:tcW w:w="1555" w:type="dxa"/>
          </w:tcPr>
          <w:p w14:paraId="42C073F8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14:paraId="6C2DD99E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National Group Reports</w:t>
            </w:r>
          </w:p>
        </w:tc>
        <w:tc>
          <w:tcPr>
            <w:tcW w:w="7380" w:type="dxa"/>
          </w:tcPr>
          <w:p w14:paraId="36026B26" w14:textId="6E294D8F" w:rsidR="00E00310" w:rsidRPr="00E03991" w:rsidRDefault="00602846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No reports</w:t>
            </w:r>
          </w:p>
        </w:tc>
        <w:tc>
          <w:tcPr>
            <w:tcW w:w="2410" w:type="dxa"/>
          </w:tcPr>
          <w:p w14:paraId="15D5684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5717D6B" w14:textId="77777777" w:rsidTr="00936DF7">
        <w:tc>
          <w:tcPr>
            <w:tcW w:w="1555" w:type="dxa"/>
          </w:tcPr>
          <w:p w14:paraId="0B6EDCE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14:paraId="371E325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PPN Rep Reports</w:t>
            </w:r>
          </w:p>
        </w:tc>
        <w:tc>
          <w:tcPr>
            <w:tcW w:w="7380" w:type="dxa"/>
          </w:tcPr>
          <w:p w14:paraId="1C7DD699" w14:textId="4821BB6D" w:rsidR="00E00310" w:rsidRPr="00E03991" w:rsidRDefault="00602846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E</w:t>
            </w:r>
            <w:r w:rsidR="007F0231" w:rsidRPr="00E03991">
              <w:rPr>
                <w:rFonts w:ascii="Arial" w:hAnsi="Arial" w:cs="Arial"/>
                <w:sz w:val="24"/>
                <w:szCs w:val="24"/>
              </w:rPr>
              <w:t>n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niscorthy Town Centre First </w:t>
            </w:r>
            <w:r w:rsidR="007F0231" w:rsidRPr="00E03991">
              <w:rPr>
                <w:rFonts w:ascii="Arial" w:hAnsi="Arial" w:cs="Arial"/>
                <w:sz w:val="24"/>
                <w:szCs w:val="24"/>
              </w:rPr>
              <w:t>Rep Breda Cah</w:t>
            </w:r>
            <w:r w:rsidR="00CA78AE" w:rsidRPr="00E03991">
              <w:rPr>
                <w:rFonts w:ascii="Arial" w:hAnsi="Arial" w:cs="Arial"/>
                <w:sz w:val="24"/>
                <w:szCs w:val="24"/>
              </w:rPr>
              <w:t xml:space="preserve">ill, </w:t>
            </w:r>
            <w:r w:rsidRPr="00E03991">
              <w:rPr>
                <w:rFonts w:ascii="Arial" w:hAnsi="Arial" w:cs="Arial"/>
                <w:sz w:val="24"/>
                <w:szCs w:val="24"/>
              </w:rPr>
              <w:t>gave a brief</w:t>
            </w:r>
            <w:r w:rsidR="007F0231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8AE" w:rsidRPr="00E03991">
              <w:rPr>
                <w:rFonts w:ascii="Arial" w:hAnsi="Arial" w:cs="Arial"/>
                <w:sz w:val="24"/>
                <w:szCs w:val="24"/>
              </w:rPr>
              <w:t xml:space="preserve">update </w:t>
            </w:r>
            <w:r w:rsidRPr="00E03991">
              <w:rPr>
                <w:rFonts w:ascii="Arial" w:hAnsi="Arial" w:cs="Arial"/>
                <w:sz w:val="24"/>
                <w:szCs w:val="24"/>
              </w:rPr>
              <w:t>a</w:t>
            </w:r>
            <w:r w:rsidR="007F0231" w:rsidRPr="00E03991">
              <w:rPr>
                <w:rFonts w:ascii="Arial" w:hAnsi="Arial" w:cs="Arial"/>
                <w:sz w:val="24"/>
                <w:szCs w:val="24"/>
              </w:rPr>
              <w:t>nd a written report will be submitted shortly.</w:t>
            </w:r>
          </w:p>
        </w:tc>
        <w:tc>
          <w:tcPr>
            <w:tcW w:w="2410" w:type="dxa"/>
          </w:tcPr>
          <w:p w14:paraId="229E7EC1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05AA551D" w14:textId="77777777" w:rsidTr="00936DF7">
        <w:tc>
          <w:tcPr>
            <w:tcW w:w="1555" w:type="dxa"/>
          </w:tcPr>
          <w:p w14:paraId="5DE53A6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14:paraId="3DFE54A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Local Community Safety Partnership</w:t>
            </w:r>
          </w:p>
        </w:tc>
        <w:tc>
          <w:tcPr>
            <w:tcW w:w="7380" w:type="dxa"/>
          </w:tcPr>
          <w:p w14:paraId="6102D007" w14:textId="26A87BD6" w:rsidR="00E00310" w:rsidRPr="00E03991" w:rsidRDefault="00AB4A2C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No update from LCSP reps.</w:t>
            </w:r>
          </w:p>
          <w:p w14:paraId="43F38751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9B020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18757538" w14:textId="77777777" w:rsidTr="00936DF7">
        <w:tc>
          <w:tcPr>
            <w:tcW w:w="1555" w:type="dxa"/>
          </w:tcPr>
          <w:p w14:paraId="728FE96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76" w:type="dxa"/>
          </w:tcPr>
          <w:p w14:paraId="15FA63F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Correspondence</w:t>
            </w:r>
          </w:p>
        </w:tc>
        <w:tc>
          <w:tcPr>
            <w:tcW w:w="7380" w:type="dxa"/>
          </w:tcPr>
          <w:p w14:paraId="41DA00A1" w14:textId="19535CF0" w:rsidR="006515C7" w:rsidRPr="00E03991" w:rsidRDefault="00EB32FD" w:rsidP="00C916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DRDCG Circular 1/2026 received on 6</w:t>
            </w:r>
            <w:r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February </w:t>
            </w:r>
            <w:r w:rsidR="0051713F" w:rsidRPr="00E03991">
              <w:rPr>
                <w:rFonts w:ascii="Arial" w:hAnsi="Arial" w:cs="Arial"/>
                <w:sz w:val="24"/>
                <w:szCs w:val="24"/>
              </w:rPr>
              <w:t>regarding funding for 2026 was discussed.</w:t>
            </w:r>
            <w:r w:rsidR="00C916F7" w:rsidRPr="00E0399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713F" w:rsidRPr="00E03991">
              <w:rPr>
                <w:rFonts w:ascii="Arial" w:hAnsi="Arial" w:cs="Arial"/>
                <w:sz w:val="24"/>
                <w:szCs w:val="24"/>
              </w:rPr>
              <w:t>Quotation for HR Training</w:t>
            </w:r>
            <w:r w:rsidR="004C5C9C" w:rsidRPr="00E03991">
              <w:rPr>
                <w:rFonts w:ascii="Arial" w:hAnsi="Arial" w:cs="Arial"/>
                <w:sz w:val="24"/>
                <w:szCs w:val="24"/>
              </w:rPr>
              <w:t xml:space="preserve"> for Sec</w:t>
            </w:r>
            <w:r w:rsidR="00AE592E" w:rsidRPr="00E03991">
              <w:rPr>
                <w:rFonts w:ascii="Arial" w:hAnsi="Arial" w:cs="Arial"/>
                <w:sz w:val="24"/>
                <w:szCs w:val="24"/>
              </w:rPr>
              <w:t>retariat members for Staff Liaison Committee</w:t>
            </w:r>
            <w:r w:rsidR="0051713F" w:rsidRPr="00E03991">
              <w:rPr>
                <w:rFonts w:ascii="Arial" w:hAnsi="Arial" w:cs="Arial"/>
                <w:sz w:val="24"/>
                <w:szCs w:val="24"/>
              </w:rPr>
              <w:t xml:space="preserve"> was received from Carmichael for €13</w:t>
            </w:r>
            <w:r w:rsidR="004C5C9C" w:rsidRPr="00E03991">
              <w:rPr>
                <w:rFonts w:ascii="Arial" w:hAnsi="Arial" w:cs="Arial"/>
                <w:sz w:val="24"/>
                <w:szCs w:val="24"/>
              </w:rPr>
              <w:t>6</w:t>
            </w:r>
            <w:r w:rsidR="00823D54" w:rsidRPr="00E03991">
              <w:rPr>
                <w:rFonts w:ascii="Arial" w:hAnsi="Arial" w:cs="Arial"/>
                <w:sz w:val="24"/>
                <w:szCs w:val="24"/>
              </w:rPr>
              <w:t>6.  I</w:t>
            </w:r>
            <w:r w:rsidR="004C5C9C" w:rsidRPr="00E03991">
              <w:rPr>
                <w:rFonts w:ascii="Arial" w:hAnsi="Arial" w:cs="Arial"/>
                <w:sz w:val="24"/>
                <w:szCs w:val="24"/>
              </w:rPr>
              <w:t>t was agreed to proceed</w:t>
            </w:r>
            <w:r w:rsidR="00823D54" w:rsidRPr="00E03991">
              <w:rPr>
                <w:rFonts w:ascii="Arial" w:hAnsi="Arial" w:cs="Arial"/>
                <w:sz w:val="24"/>
                <w:szCs w:val="24"/>
              </w:rPr>
              <w:t xml:space="preserve"> with this training.  Carmichael to be contacted </w:t>
            </w:r>
            <w:r w:rsidR="00841E23" w:rsidRPr="00E03991">
              <w:rPr>
                <w:rFonts w:ascii="Arial" w:hAnsi="Arial" w:cs="Arial"/>
                <w:sz w:val="24"/>
                <w:szCs w:val="24"/>
              </w:rPr>
              <w:t>with proposed dates of the 14</w:t>
            </w:r>
            <w:r w:rsidR="00841E23"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41E23" w:rsidRPr="00E03991">
              <w:rPr>
                <w:rFonts w:ascii="Arial" w:hAnsi="Arial" w:cs="Arial"/>
                <w:sz w:val="24"/>
                <w:szCs w:val="24"/>
              </w:rPr>
              <w:t xml:space="preserve"> &amp; 17</w:t>
            </w:r>
            <w:r w:rsidR="00841E23"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41E23" w:rsidRPr="00E03991">
              <w:rPr>
                <w:rFonts w:ascii="Arial" w:hAnsi="Arial" w:cs="Arial"/>
                <w:sz w:val="24"/>
                <w:szCs w:val="24"/>
              </w:rPr>
              <w:t xml:space="preserve"> of April</w:t>
            </w:r>
            <w:r w:rsidR="006515C7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E23" w:rsidRPr="00E03991">
              <w:rPr>
                <w:rFonts w:ascii="Arial" w:hAnsi="Arial" w:cs="Arial"/>
                <w:sz w:val="24"/>
                <w:szCs w:val="24"/>
              </w:rPr>
              <w:t>2026.</w:t>
            </w:r>
            <w:r w:rsidR="00C916F7" w:rsidRPr="00E0399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15C7" w:rsidRPr="00E03991">
              <w:rPr>
                <w:rFonts w:ascii="Arial" w:hAnsi="Arial" w:cs="Arial"/>
                <w:sz w:val="24"/>
                <w:szCs w:val="24"/>
              </w:rPr>
              <w:t xml:space="preserve">Request from PPN National </w:t>
            </w:r>
            <w:r w:rsidR="008D2A33" w:rsidRPr="00E03991">
              <w:rPr>
                <w:rFonts w:ascii="Arial" w:hAnsi="Arial" w:cs="Arial"/>
                <w:sz w:val="24"/>
                <w:szCs w:val="24"/>
              </w:rPr>
              <w:t>W</w:t>
            </w:r>
            <w:r w:rsidR="006515C7" w:rsidRPr="00E03991">
              <w:rPr>
                <w:rFonts w:ascii="Arial" w:hAnsi="Arial" w:cs="Arial"/>
                <w:sz w:val="24"/>
                <w:szCs w:val="24"/>
              </w:rPr>
              <w:t xml:space="preserve">orkers </w:t>
            </w:r>
            <w:r w:rsidR="008D2A33" w:rsidRPr="00E03991">
              <w:rPr>
                <w:rFonts w:ascii="Arial" w:hAnsi="Arial" w:cs="Arial"/>
                <w:sz w:val="24"/>
                <w:szCs w:val="24"/>
              </w:rPr>
              <w:t>N</w:t>
            </w:r>
            <w:r w:rsidR="006515C7" w:rsidRPr="00E03991">
              <w:rPr>
                <w:rFonts w:ascii="Arial" w:hAnsi="Arial" w:cs="Arial"/>
                <w:sz w:val="24"/>
                <w:szCs w:val="24"/>
              </w:rPr>
              <w:t xml:space="preserve">etwork for a contribution </w:t>
            </w:r>
            <w:r w:rsidR="00884507" w:rsidRPr="00E03991">
              <w:rPr>
                <w:rFonts w:ascii="Arial" w:hAnsi="Arial" w:cs="Arial"/>
                <w:sz w:val="24"/>
                <w:szCs w:val="24"/>
              </w:rPr>
              <w:t xml:space="preserve">of €300 for professional fees to engage a consultant to action 5.2(a) </w:t>
            </w:r>
            <w:r w:rsidR="00EA4445" w:rsidRPr="00E03991">
              <w:rPr>
                <w:rFonts w:ascii="Arial" w:hAnsi="Arial" w:cs="Arial"/>
                <w:sz w:val="24"/>
                <w:szCs w:val="24"/>
              </w:rPr>
              <w:t>I</w:t>
            </w:r>
            <w:r w:rsidR="00FC1D6D" w:rsidRPr="00E03991">
              <w:rPr>
                <w:rFonts w:ascii="Arial" w:hAnsi="Arial" w:cs="Arial"/>
                <w:sz w:val="24"/>
                <w:szCs w:val="24"/>
              </w:rPr>
              <w:t xml:space="preserve">mplementation </w:t>
            </w:r>
            <w:r w:rsidR="00EA4445" w:rsidRPr="00E03991">
              <w:rPr>
                <w:rFonts w:ascii="Arial" w:hAnsi="Arial" w:cs="Arial"/>
                <w:sz w:val="24"/>
                <w:szCs w:val="24"/>
              </w:rPr>
              <w:t>Roadmap for</w:t>
            </w:r>
            <w:r w:rsidR="00FC1D6D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445" w:rsidRPr="00E03991">
              <w:rPr>
                <w:rFonts w:ascii="Arial" w:hAnsi="Arial" w:cs="Arial"/>
                <w:sz w:val="24"/>
                <w:szCs w:val="24"/>
              </w:rPr>
              <w:t>PPN</w:t>
            </w:r>
            <w:r w:rsidR="00F67771" w:rsidRPr="00E03991">
              <w:rPr>
                <w:rFonts w:ascii="Arial" w:hAnsi="Arial" w:cs="Arial"/>
                <w:sz w:val="24"/>
                <w:szCs w:val="24"/>
              </w:rPr>
              <w:t xml:space="preserve">’s.  Following a </w:t>
            </w:r>
            <w:r w:rsidR="00D80A2D" w:rsidRPr="00E03991">
              <w:rPr>
                <w:rFonts w:ascii="Arial" w:hAnsi="Arial" w:cs="Arial"/>
                <w:sz w:val="24"/>
                <w:szCs w:val="24"/>
              </w:rPr>
              <w:t>discussion,</w:t>
            </w:r>
            <w:r w:rsidR="00F67771" w:rsidRPr="00E03991">
              <w:rPr>
                <w:rFonts w:ascii="Arial" w:hAnsi="Arial" w:cs="Arial"/>
                <w:sz w:val="24"/>
                <w:szCs w:val="24"/>
              </w:rPr>
              <w:t xml:space="preserve"> it was agreed that while supporting</w:t>
            </w:r>
            <w:r w:rsidR="00810E22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AFC" w:rsidRPr="00E03991">
              <w:rPr>
                <w:rFonts w:ascii="Arial" w:hAnsi="Arial" w:cs="Arial"/>
                <w:sz w:val="24"/>
                <w:szCs w:val="24"/>
              </w:rPr>
              <w:t xml:space="preserve">the improvement of pay and terms for PPN staff Wexford PPN would </w:t>
            </w:r>
            <w:r w:rsidR="007D3AFC" w:rsidRPr="00E03991">
              <w:rPr>
                <w:rFonts w:ascii="Arial" w:hAnsi="Arial" w:cs="Arial"/>
                <w:sz w:val="24"/>
                <w:szCs w:val="24"/>
              </w:rPr>
              <w:lastRenderedPageBreak/>
              <w:t>not be contributing €30</w:t>
            </w:r>
            <w:r w:rsidR="00982C22" w:rsidRPr="00E03991">
              <w:rPr>
                <w:rFonts w:ascii="Arial" w:hAnsi="Arial" w:cs="Arial"/>
                <w:sz w:val="24"/>
                <w:szCs w:val="24"/>
              </w:rPr>
              <w:t xml:space="preserve">0 as there were questions about </w:t>
            </w:r>
            <w:r w:rsidR="00644F97" w:rsidRPr="00E03991">
              <w:rPr>
                <w:rFonts w:ascii="Arial" w:hAnsi="Arial" w:cs="Arial"/>
                <w:sz w:val="24"/>
                <w:szCs w:val="24"/>
              </w:rPr>
              <w:t xml:space="preserve">cost of consultant, tendering process for engaging consultant. </w:t>
            </w:r>
          </w:p>
        </w:tc>
        <w:tc>
          <w:tcPr>
            <w:tcW w:w="2410" w:type="dxa"/>
          </w:tcPr>
          <w:p w14:paraId="2F39AFAF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C783C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F56FE" w14:textId="77777777" w:rsidR="00E00310" w:rsidRPr="00E03991" w:rsidRDefault="00646C79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Mary to contact C</w:t>
            </w:r>
            <w:r w:rsidR="00F94008" w:rsidRPr="00E03991">
              <w:rPr>
                <w:rFonts w:ascii="Arial" w:hAnsi="Arial" w:cs="Arial"/>
                <w:sz w:val="24"/>
                <w:szCs w:val="24"/>
              </w:rPr>
              <w:t>a</w:t>
            </w:r>
            <w:r w:rsidRPr="00E03991">
              <w:rPr>
                <w:rFonts w:ascii="Arial" w:hAnsi="Arial" w:cs="Arial"/>
                <w:sz w:val="24"/>
                <w:szCs w:val="24"/>
              </w:rPr>
              <w:t>rmichael.</w:t>
            </w:r>
          </w:p>
          <w:p w14:paraId="6BF60822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A079C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6EAAA" w14:textId="3E3C961E" w:rsidR="00F94008" w:rsidRPr="00E03991" w:rsidRDefault="00982C22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Mary to inform PPN National Workers Network of decision.</w:t>
            </w:r>
          </w:p>
        </w:tc>
      </w:tr>
      <w:tr w:rsidR="00E00310" w:rsidRPr="00E03991" w14:paraId="7AAF440E" w14:textId="77777777" w:rsidTr="00F0402B">
        <w:tc>
          <w:tcPr>
            <w:tcW w:w="1555" w:type="dxa"/>
          </w:tcPr>
          <w:p w14:paraId="6D1EA9A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76" w:type="dxa"/>
          </w:tcPr>
          <w:p w14:paraId="4C6044D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AOB</w:t>
            </w:r>
          </w:p>
        </w:tc>
        <w:tc>
          <w:tcPr>
            <w:tcW w:w="7380" w:type="dxa"/>
          </w:tcPr>
          <w:p w14:paraId="42AA23B3" w14:textId="2128E8E8" w:rsidR="00810E22" w:rsidRPr="00E03991" w:rsidRDefault="00D80A2D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The Plenary was discussed and 7</w:t>
            </w:r>
            <w:r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of May was agreed </w:t>
            </w:r>
            <w:r w:rsidR="00FB689D" w:rsidRPr="00E03991">
              <w:rPr>
                <w:rFonts w:ascii="Arial" w:hAnsi="Arial" w:cs="Arial"/>
                <w:sz w:val="24"/>
                <w:szCs w:val="24"/>
              </w:rPr>
              <w:t xml:space="preserve">subject to availability </w:t>
            </w:r>
            <w:r w:rsidR="0098511E" w:rsidRPr="00E03991"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spellStart"/>
            <w:r w:rsidR="00FB689D" w:rsidRPr="00E03991">
              <w:rPr>
                <w:rFonts w:ascii="Arial" w:hAnsi="Arial" w:cs="Arial"/>
                <w:sz w:val="24"/>
                <w:szCs w:val="24"/>
              </w:rPr>
              <w:t>Oylegate</w:t>
            </w:r>
            <w:proofErr w:type="spellEnd"/>
            <w:r w:rsidR="00FB689D" w:rsidRPr="00E03991">
              <w:rPr>
                <w:rFonts w:ascii="Arial" w:hAnsi="Arial" w:cs="Arial"/>
                <w:sz w:val="24"/>
                <w:szCs w:val="24"/>
              </w:rPr>
              <w:t xml:space="preserve"> Community Centre.  </w:t>
            </w:r>
            <w:r w:rsidR="0098511E" w:rsidRPr="00E03991">
              <w:rPr>
                <w:rFonts w:ascii="Arial" w:hAnsi="Arial" w:cs="Arial"/>
                <w:sz w:val="24"/>
                <w:szCs w:val="24"/>
              </w:rPr>
              <w:t xml:space="preserve">Format is to ask member groups to </w:t>
            </w:r>
            <w:r w:rsidR="006254FA" w:rsidRPr="00E03991">
              <w:rPr>
                <w:rFonts w:ascii="Arial" w:hAnsi="Arial" w:cs="Arial"/>
                <w:sz w:val="24"/>
                <w:szCs w:val="24"/>
              </w:rPr>
              <w:t>represent their group and provide speakers</w:t>
            </w:r>
            <w:r w:rsidR="00036C6D" w:rsidRPr="00E03991">
              <w:rPr>
                <w:rFonts w:ascii="Arial" w:hAnsi="Arial" w:cs="Arial"/>
                <w:sz w:val="24"/>
                <w:szCs w:val="24"/>
              </w:rPr>
              <w:t xml:space="preserve"> on the night</w:t>
            </w:r>
            <w:r w:rsidR="006254FA" w:rsidRPr="00E0399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8D2A33" w:rsidRPr="00E03991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6254FA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6C6D" w:rsidRPr="00E03991">
              <w:rPr>
                <w:rFonts w:ascii="Arial" w:hAnsi="Arial" w:cs="Arial"/>
                <w:sz w:val="24"/>
                <w:szCs w:val="24"/>
              </w:rPr>
              <w:t>information stands.</w:t>
            </w:r>
          </w:p>
          <w:p w14:paraId="34FCB9CD" w14:textId="52F8FC09" w:rsidR="00036C6D" w:rsidRPr="00E03991" w:rsidRDefault="00036C6D" w:rsidP="0042653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Save</w:t>
            </w:r>
            <w:r w:rsidR="00426537" w:rsidRPr="00E03991">
              <w:rPr>
                <w:rFonts w:ascii="Arial" w:hAnsi="Arial" w:cs="Arial"/>
                <w:sz w:val="24"/>
                <w:szCs w:val="24"/>
              </w:rPr>
              <w:t xml:space="preserve"> the date and expression of interests to be sent out to all member groups.</w:t>
            </w:r>
          </w:p>
          <w:p w14:paraId="4BE03076" w14:textId="77777777" w:rsidR="00010CED" w:rsidRPr="00E03991" w:rsidRDefault="00010CED" w:rsidP="00426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A0E45" w14:textId="77777777" w:rsidR="000602F9" w:rsidRPr="00E03991" w:rsidRDefault="00010CED" w:rsidP="0042653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Reps Roundtable Meeting held on the 7</w:t>
            </w:r>
            <w:r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of February in Enniscorthy was discussed.  It was a very suc</w:t>
            </w:r>
            <w:r w:rsidR="00F92EE0" w:rsidRPr="00E03991">
              <w:rPr>
                <w:rFonts w:ascii="Arial" w:hAnsi="Arial" w:cs="Arial"/>
                <w:sz w:val="24"/>
                <w:szCs w:val="24"/>
              </w:rPr>
              <w:t>cessful event, well attended with very positive feedback from those in at</w:t>
            </w:r>
            <w:r w:rsidR="005042D1" w:rsidRPr="00E03991">
              <w:rPr>
                <w:rFonts w:ascii="Arial" w:hAnsi="Arial" w:cs="Arial"/>
                <w:sz w:val="24"/>
                <w:szCs w:val="24"/>
              </w:rPr>
              <w:t>tendance.</w:t>
            </w:r>
            <w:r w:rsidR="002C3AEC" w:rsidRPr="00E03991">
              <w:rPr>
                <w:rFonts w:ascii="Arial" w:hAnsi="Arial" w:cs="Arial"/>
                <w:sz w:val="24"/>
                <w:szCs w:val="24"/>
              </w:rPr>
              <w:t xml:space="preserve">  Reps Charter to be circulated</w:t>
            </w:r>
            <w:r w:rsidR="000602F9" w:rsidRPr="00E03991">
              <w:rPr>
                <w:rFonts w:ascii="Arial" w:hAnsi="Arial" w:cs="Arial"/>
                <w:sz w:val="24"/>
                <w:szCs w:val="24"/>
              </w:rPr>
              <w:t xml:space="preserve"> again.</w:t>
            </w:r>
          </w:p>
          <w:p w14:paraId="5FA5970A" w14:textId="77777777" w:rsidR="008D2A33" w:rsidRPr="00E03991" w:rsidRDefault="008D2A33" w:rsidP="00426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EC01DB" w14:textId="4D829B48" w:rsidR="00BA631A" w:rsidRPr="00E03991" w:rsidRDefault="00AA3A2E" w:rsidP="0042653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Davie Rea has made </w:t>
            </w:r>
            <w:r w:rsidR="00BC738D" w:rsidRPr="00E03991">
              <w:rPr>
                <w:rFonts w:ascii="Arial" w:hAnsi="Arial" w:cs="Arial"/>
                <w:sz w:val="24"/>
                <w:szCs w:val="24"/>
              </w:rPr>
              <w:t>enquiries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38D" w:rsidRPr="00E03991">
              <w:rPr>
                <w:rFonts w:ascii="Arial" w:hAnsi="Arial" w:cs="Arial"/>
                <w:sz w:val="24"/>
                <w:szCs w:val="24"/>
              </w:rPr>
              <w:t xml:space="preserve">regarding the proposed </w:t>
            </w:r>
            <w:r w:rsidR="007E20B9" w:rsidRPr="00E03991">
              <w:rPr>
                <w:rFonts w:ascii="Arial" w:hAnsi="Arial" w:cs="Arial"/>
                <w:sz w:val="24"/>
                <w:szCs w:val="24"/>
              </w:rPr>
              <w:t>podcast,</w:t>
            </w:r>
            <w:r w:rsidR="00BC738D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91">
              <w:rPr>
                <w:rFonts w:ascii="Arial" w:hAnsi="Arial" w:cs="Arial"/>
                <w:sz w:val="24"/>
                <w:szCs w:val="24"/>
              </w:rPr>
              <w:t>and he will contact</w:t>
            </w:r>
            <w:r w:rsidR="00BC738D" w:rsidRPr="00E03991">
              <w:rPr>
                <w:rFonts w:ascii="Arial" w:hAnsi="Arial" w:cs="Arial"/>
                <w:sz w:val="24"/>
                <w:szCs w:val="24"/>
              </w:rPr>
              <w:t xml:space="preserve"> a local podcast provider to attend the next </w:t>
            </w:r>
            <w:r w:rsidR="00BA631A" w:rsidRPr="00E03991">
              <w:rPr>
                <w:rFonts w:ascii="Arial" w:hAnsi="Arial" w:cs="Arial"/>
                <w:sz w:val="24"/>
                <w:szCs w:val="24"/>
              </w:rPr>
              <w:t>Secretariat meeting in person</w:t>
            </w:r>
          </w:p>
          <w:p w14:paraId="037BDF5A" w14:textId="15311A38" w:rsidR="008D2A33" w:rsidRPr="00E03991" w:rsidRDefault="00505EE2" w:rsidP="0042653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to advise how to get started.</w:t>
            </w:r>
          </w:p>
          <w:p w14:paraId="2ED17D20" w14:textId="77777777" w:rsidR="00F736A5" w:rsidRPr="00E03991" w:rsidRDefault="00F736A5" w:rsidP="004265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DDC8E" w14:textId="19134106" w:rsidR="00A66E65" w:rsidRPr="00E03991" w:rsidRDefault="00F736A5" w:rsidP="0042653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Information mornings will take place in the 5 districts in Wexford over the coming </w:t>
            </w:r>
            <w:r w:rsidR="007E20B9" w:rsidRPr="00E03991">
              <w:rPr>
                <w:rFonts w:ascii="Arial" w:hAnsi="Arial" w:cs="Arial"/>
                <w:sz w:val="24"/>
                <w:szCs w:val="24"/>
              </w:rPr>
              <w:t>months in lieu of District Meetings.</w:t>
            </w:r>
            <w:r w:rsidR="00972705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0B9" w:rsidRPr="00E03991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972705" w:rsidRPr="00E03991">
              <w:rPr>
                <w:rFonts w:ascii="Arial" w:hAnsi="Arial" w:cs="Arial"/>
                <w:sz w:val="24"/>
                <w:szCs w:val="24"/>
              </w:rPr>
              <w:t xml:space="preserve">roposed venues </w:t>
            </w:r>
            <w:r w:rsidR="00461B84" w:rsidRPr="00E03991">
              <w:rPr>
                <w:rFonts w:ascii="Arial" w:hAnsi="Arial" w:cs="Arial"/>
                <w:sz w:val="24"/>
                <w:szCs w:val="24"/>
              </w:rPr>
              <w:t xml:space="preserve">and dates </w:t>
            </w:r>
            <w:r w:rsidR="00972705" w:rsidRPr="00E03991">
              <w:rPr>
                <w:rFonts w:ascii="Arial" w:hAnsi="Arial" w:cs="Arial"/>
                <w:sz w:val="24"/>
                <w:szCs w:val="24"/>
              </w:rPr>
              <w:t>are being finalised</w:t>
            </w:r>
            <w:r w:rsidR="00461B84" w:rsidRPr="00E03991">
              <w:rPr>
                <w:rFonts w:ascii="Arial" w:hAnsi="Arial" w:cs="Arial"/>
                <w:sz w:val="24"/>
                <w:szCs w:val="24"/>
              </w:rPr>
              <w:t xml:space="preserve">.  District Reps will attend where possible.  All </w:t>
            </w:r>
            <w:r w:rsidR="006F2B00" w:rsidRPr="00E03991">
              <w:rPr>
                <w:rFonts w:ascii="Arial" w:hAnsi="Arial" w:cs="Arial"/>
                <w:sz w:val="24"/>
                <w:szCs w:val="24"/>
              </w:rPr>
              <w:t xml:space="preserve">Reps and </w:t>
            </w:r>
            <w:r w:rsidR="00461B84" w:rsidRPr="00E03991">
              <w:rPr>
                <w:rFonts w:ascii="Arial" w:hAnsi="Arial" w:cs="Arial"/>
                <w:sz w:val="24"/>
                <w:szCs w:val="24"/>
              </w:rPr>
              <w:t xml:space="preserve">groups in </w:t>
            </w:r>
            <w:r w:rsidR="006F2B00" w:rsidRPr="00E03991">
              <w:rPr>
                <w:rFonts w:ascii="Arial" w:hAnsi="Arial" w:cs="Arial"/>
                <w:sz w:val="24"/>
                <w:szCs w:val="24"/>
              </w:rPr>
              <w:t>each</w:t>
            </w:r>
            <w:r w:rsidR="00461B84" w:rsidRPr="00E03991">
              <w:rPr>
                <w:rFonts w:ascii="Arial" w:hAnsi="Arial" w:cs="Arial"/>
                <w:sz w:val="24"/>
                <w:szCs w:val="24"/>
              </w:rPr>
              <w:t xml:space="preserve"> district will be invited and new groups are welcome.</w:t>
            </w:r>
          </w:p>
          <w:p w14:paraId="69C04D85" w14:textId="77777777" w:rsidR="00810E22" w:rsidRPr="00E03991" w:rsidRDefault="00810E22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85EFD" w14:textId="7E48F0E9" w:rsidR="00752010" w:rsidRPr="00E03991" w:rsidRDefault="007520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Dymphna O’Connor SEO Community Section, Wexford County Council to be invited to </w:t>
            </w:r>
            <w:r w:rsidR="00D52AAD" w:rsidRPr="00E03991">
              <w:rPr>
                <w:rFonts w:ascii="Arial" w:hAnsi="Arial" w:cs="Arial"/>
                <w:sz w:val="24"/>
                <w:szCs w:val="24"/>
              </w:rPr>
              <w:t>attend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2AAD" w:rsidRPr="00E03991">
              <w:rPr>
                <w:rFonts w:ascii="Arial" w:hAnsi="Arial" w:cs="Arial"/>
                <w:sz w:val="24"/>
                <w:szCs w:val="24"/>
              </w:rPr>
              <w:t>May</w:t>
            </w:r>
            <w:r w:rsidR="002D295E" w:rsidRPr="00E03991">
              <w:rPr>
                <w:rFonts w:ascii="Arial" w:hAnsi="Arial" w:cs="Arial"/>
                <w:sz w:val="24"/>
                <w:szCs w:val="24"/>
              </w:rPr>
              <w:t xml:space="preserve"> Secretariat meeting.</w:t>
            </w:r>
          </w:p>
          <w:p w14:paraId="60E48215" w14:textId="77777777" w:rsidR="00505EE2" w:rsidRPr="00E03991" w:rsidRDefault="00505EE2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C9C72" w14:textId="331DD053" w:rsidR="00810E22" w:rsidRPr="00E03991" w:rsidRDefault="00847AF9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Sergeant </w:t>
            </w:r>
            <w:r w:rsidR="004211BA" w:rsidRPr="00E03991">
              <w:rPr>
                <w:rFonts w:ascii="Arial" w:hAnsi="Arial" w:cs="Arial"/>
                <w:sz w:val="24"/>
                <w:szCs w:val="24"/>
              </w:rPr>
              <w:t xml:space="preserve">Eddie Wilde </w:t>
            </w:r>
            <w:r w:rsidR="00752010" w:rsidRPr="00E0399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211BA" w:rsidRPr="00E03991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D52AAD" w:rsidRPr="00E03991">
              <w:rPr>
                <w:rFonts w:ascii="Arial" w:hAnsi="Arial" w:cs="Arial"/>
                <w:sz w:val="24"/>
                <w:szCs w:val="24"/>
              </w:rPr>
              <w:t>invited</w:t>
            </w:r>
            <w:r w:rsidR="004211BA" w:rsidRPr="00E03991">
              <w:rPr>
                <w:rFonts w:ascii="Arial" w:hAnsi="Arial" w:cs="Arial"/>
                <w:sz w:val="24"/>
                <w:szCs w:val="24"/>
              </w:rPr>
              <w:t xml:space="preserve"> to attend the </w:t>
            </w:r>
            <w:r w:rsidR="00752010" w:rsidRPr="00E03991">
              <w:rPr>
                <w:rFonts w:ascii="Arial" w:hAnsi="Arial" w:cs="Arial"/>
                <w:sz w:val="24"/>
                <w:szCs w:val="24"/>
              </w:rPr>
              <w:t xml:space="preserve">June </w:t>
            </w:r>
            <w:r w:rsidR="002D295E" w:rsidRPr="00E03991">
              <w:rPr>
                <w:rFonts w:ascii="Arial" w:hAnsi="Arial" w:cs="Arial"/>
                <w:sz w:val="24"/>
                <w:szCs w:val="24"/>
              </w:rPr>
              <w:t xml:space="preserve">Secretariat </w:t>
            </w:r>
            <w:r w:rsidR="00752010" w:rsidRPr="00E03991">
              <w:rPr>
                <w:rFonts w:ascii="Arial" w:hAnsi="Arial" w:cs="Arial"/>
                <w:sz w:val="24"/>
                <w:szCs w:val="24"/>
              </w:rPr>
              <w:t>Meeting.</w:t>
            </w:r>
          </w:p>
          <w:p w14:paraId="371F7CEB" w14:textId="77777777" w:rsidR="002D295E" w:rsidRPr="00E03991" w:rsidRDefault="002D295E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EA53C" w14:textId="1A96CD1A" w:rsidR="002D295E" w:rsidRPr="00E03991" w:rsidRDefault="004820A2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Next meeting to be held on </w:t>
            </w:r>
            <w:r w:rsidR="00505EE2" w:rsidRPr="00E03991">
              <w:rPr>
                <w:rFonts w:ascii="Arial" w:hAnsi="Arial" w:cs="Arial"/>
                <w:sz w:val="24"/>
                <w:szCs w:val="24"/>
              </w:rPr>
              <w:t>Monday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13</w:t>
            </w:r>
            <w:r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April.</w:t>
            </w:r>
          </w:p>
        </w:tc>
        <w:tc>
          <w:tcPr>
            <w:tcW w:w="2410" w:type="dxa"/>
          </w:tcPr>
          <w:p w14:paraId="52DDD71D" w14:textId="77777777" w:rsidR="00E16CE3" w:rsidRPr="00E03991" w:rsidRDefault="00F0402B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Sue to book </w:t>
            </w:r>
            <w:proofErr w:type="spellStart"/>
            <w:r w:rsidRPr="00E03991">
              <w:rPr>
                <w:rFonts w:ascii="Arial" w:hAnsi="Arial" w:cs="Arial"/>
                <w:sz w:val="24"/>
                <w:szCs w:val="24"/>
              </w:rPr>
              <w:t>Oylegate</w:t>
            </w:r>
            <w:proofErr w:type="spellEnd"/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3991">
              <w:rPr>
                <w:rFonts w:ascii="Arial" w:hAnsi="Arial" w:cs="Arial"/>
                <w:sz w:val="24"/>
                <w:szCs w:val="24"/>
              </w:rPr>
              <w:t>Community Centre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 for the 7</w:t>
            </w:r>
            <w:r w:rsidR="00E16CE3" w:rsidRPr="00E039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7B05" w:rsidRPr="00E03991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>May (if available)</w:t>
            </w:r>
            <w:r w:rsidR="00FF7B05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02D" w:rsidRPr="00E03991">
              <w:rPr>
                <w:rFonts w:ascii="Arial" w:hAnsi="Arial" w:cs="Arial"/>
                <w:sz w:val="24"/>
                <w:szCs w:val="24"/>
              </w:rPr>
              <w:t>and</w:t>
            </w:r>
            <w:r w:rsidR="00FF7B05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02D" w:rsidRPr="00E03991">
              <w:rPr>
                <w:rFonts w:ascii="Arial" w:hAnsi="Arial" w:cs="Arial"/>
                <w:sz w:val="24"/>
                <w:szCs w:val="24"/>
              </w:rPr>
              <w:t>s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end out a </w:t>
            </w:r>
            <w:r w:rsidR="00F9702D" w:rsidRPr="00E03991">
              <w:rPr>
                <w:rFonts w:ascii="Arial" w:hAnsi="Arial" w:cs="Arial"/>
                <w:sz w:val="24"/>
                <w:szCs w:val="24"/>
              </w:rPr>
              <w:t>s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ave the </w:t>
            </w:r>
            <w:r w:rsidR="00F9702D" w:rsidRPr="00E03991">
              <w:rPr>
                <w:rFonts w:ascii="Arial" w:hAnsi="Arial" w:cs="Arial"/>
                <w:sz w:val="24"/>
                <w:szCs w:val="24"/>
              </w:rPr>
              <w:t>d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ate notice </w:t>
            </w:r>
            <w:r w:rsidR="00F9702D" w:rsidRPr="00E03991">
              <w:rPr>
                <w:rFonts w:ascii="Arial" w:hAnsi="Arial" w:cs="Arial"/>
                <w:sz w:val="24"/>
                <w:szCs w:val="24"/>
              </w:rPr>
              <w:t>if date is confirmed</w:t>
            </w:r>
            <w:r w:rsidR="007F3D56" w:rsidRPr="00E0399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6CE3" w:rsidRPr="00E03991">
              <w:rPr>
                <w:rFonts w:ascii="Arial" w:hAnsi="Arial" w:cs="Arial"/>
                <w:sz w:val="24"/>
                <w:szCs w:val="24"/>
              </w:rPr>
              <w:t xml:space="preserve"> EOI</w:t>
            </w:r>
            <w:r w:rsidR="00FF7B05" w:rsidRPr="00E03991">
              <w:rPr>
                <w:rFonts w:ascii="Arial" w:hAnsi="Arial" w:cs="Arial"/>
                <w:sz w:val="24"/>
                <w:szCs w:val="24"/>
              </w:rPr>
              <w:t xml:space="preserve"> to member groups to present at the Plenary</w:t>
            </w:r>
            <w:r w:rsidR="007F3D56" w:rsidRPr="00E039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D7403A" w14:textId="77777777" w:rsidR="007F3D56" w:rsidRPr="00E03991" w:rsidRDefault="007F3D56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C5C23" w14:textId="662DE19E" w:rsidR="007F3D56" w:rsidRPr="00E03991" w:rsidRDefault="007F3D56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Reps charter to be </w:t>
            </w:r>
            <w:r w:rsidR="00361B2B" w:rsidRPr="00E03991">
              <w:rPr>
                <w:rFonts w:ascii="Arial" w:hAnsi="Arial" w:cs="Arial"/>
                <w:sz w:val="24"/>
                <w:szCs w:val="24"/>
              </w:rPr>
              <w:t>circulated</w:t>
            </w:r>
            <w:r w:rsidR="0086166B" w:rsidRPr="00E0399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45D46D" w14:textId="77777777" w:rsidR="00F5582B" w:rsidRPr="00E03991" w:rsidRDefault="00F5582B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9C444" w14:textId="23717CFE" w:rsidR="00F5582B" w:rsidRPr="00E03991" w:rsidRDefault="00F5582B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Date</w:t>
            </w:r>
            <w:r w:rsidR="00055A50" w:rsidRPr="00E03991">
              <w:rPr>
                <w:rFonts w:ascii="Arial" w:hAnsi="Arial" w:cs="Arial"/>
                <w:sz w:val="24"/>
                <w:szCs w:val="24"/>
              </w:rPr>
              <w:t>s and venues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to be confirmed</w:t>
            </w:r>
            <w:r w:rsidR="00055A50" w:rsidRPr="00E03991">
              <w:rPr>
                <w:rFonts w:ascii="Arial" w:hAnsi="Arial" w:cs="Arial"/>
                <w:sz w:val="24"/>
                <w:szCs w:val="24"/>
              </w:rPr>
              <w:t xml:space="preserve"> and all reps notified</w:t>
            </w:r>
            <w:r w:rsidR="000A5E4E" w:rsidRPr="00E03991">
              <w:rPr>
                <w:rFonts w:ascii="Arial" w:hAnsi="Arial" w:cs="Arial"/>
                <w:sz w:val="24"/>
                <w:szCs w:val="24"/>
              </w:rPr>
              <w:t>.</w:t>
            </w:r>
            <w:r w:rsidR="000B3EB0" w:rsidRPr="00E03991">
              <w:rPr>
                <w:rFonts w:ascii="Arial" w:hAnsi="Arial" w:cs="Arial"/>
                <w:sz w:val="24"/>
                <w:szCs w:val="24"/>
              </w:rPr>
              <w:t xml:space="preserve"> Flyers /posters to be put up in venues</w:t>
            </w:r>
            <w:r w:rsidR="00D9766E" w:rsidRPr="00E03991">
              <w:rPr>
                <w:rFonts w:ascii="Arial" w:hAnsi="Arial" w:cs="Arial"/>
                <w:sz w:val="24"/>
                <w:szCs w:val="24"/>
              </w:rPr>
              <w:t xml:space="preserve"> prior to event.</w:t>
            </w:r>
          </w:p>
          <w:p w14:paraId="01BC30B9" w14:textId="77777777" w:rsidR="000A5E4E" w:rsidRPr="00E03991" w:rsidRDefault="000A5E4E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Mary to contact SEO.</w:t>
            </w:r>
          </w:p>
          <w:p w14:paraId="17549D21" w14:textId="77777777" w:rsidR="000A5E4E" w:rsidRPr="00E03991" w:rsidRDefault="000A5E4E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DCF66" w14:textId="77777777" w:rsidR="000A5E4E" w:rsidRPr="00E03991" w:rsidRDefault="000A5E4E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5A533" w14:textId="1EAEE47D" w:rsidR="00A8771E" w:rsidRPr="00E03991" w:rsidRDefault="00A8771E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Mary to contact S</w:t>
            </w:r>
            <w:r w:rsidR="007E20B9" w:rsidRPr="00E03991">
              <w:rPr>
                <w:rFonts w:ascii="Arial" w:hAnsi="Arial" w:cs="Arial"/>
                <w:sz w:val="24"/>
                <w:szCs w:val="24"/>
              </w:rPr>
              <w:t>gt Wilde</w:t>
            </w:r>
          </w:p>
        </w:tc>
      </w:tr>
    </w:tbl>
    <w:tbl>
      <w:tblPr>
        <w:tblStyle w:val="TableGrid"/>
        <w:tblpPr w:leftFromText="180" w:rightFromText="180" w:vertAnchor="text" w:horzAnchor="margin" w:tblpY="30"/>
        <w:tblW w:w="11435" w:type="dxa"/>
        <w:tblLook w:val="04A0" w:firstRow="1" w:lastRow="0" w:firstColumn="1" w:lastColumn="0" w:noHBand="0" w:noVBand="1"/>
      </w:tblPr>
      <w:tblGrid>
        <w:gridCol w:w="11435"/>
      </w:tblGrid>
      <w:tr w:rsidR="00913921" w:rsidRPr="00E03991" w14:paraId="52F6C929" w14:textId="77777777" w:rsidTr="00D3538A">
        <w:trPr>
          <w:trHeight w:val="699"/>
        </w:trPr>
        <w:tc>
          <w:tcPr>
            <w:tcW w:w="11435" w:type="dxa"/>
          </w:tcPr>
          <w:p w14:paraId="30D2C592" w14:textId="77777777" w:rsidR="00913921" w:rsidRPr="00E03991" w:rsidRDefault="00913921" w:rsidP="00913921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Facilitator / Chairperson</w:t>
            </w:r>
          </w:p>
          <w:p w14:paraId="20F24EE1" w14:textId="77777777" w:rsidR="00913921" w:rsidRPr="00E03991" w:rsidRDefault="00913921" w:rsidP="00913921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C8C33E" w14:textId="77777777" w:rsidR="00913921" w:rsidRPr="00E03991" w:rsidRDefault="00913921" w:rsidP="00E73228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Signed:                                                                                                              Date:</w:t>
            </w:r>
          </w:p>
        </w:tc>
      </w:tr>
    </w:tbl>
    <w:p w14:paraId="6090071B" w14:textId="77777777" w:rsidR="00D72F95" w:rsidRPr="00E03991" w:rsidRDefault="00D72F95" w:rsidP="00D72F95">
      <w:pPr>
        <w:tabs>
          <w:tab w:val="left" w:pos="12474"/>
        </w:tabs>
        <w:rPr>
          <w:rFonts w:ascii="Arial" w:hAnsi="Arial" w:cs="Arial"/>
        </w:rPr>
      </w:pPr>
    </w:p>
    <w:sectPr w:rsidR="00D72F95" w:rsidRPr="00E03991" w:rsidSect="00A030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1B59"/>
    <w:multiLevelType w:val="hybridMultilevel"/>
    <w:tmpl w:val="8994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7433">
    <w:abstractNumId w:val="0"/>
  </w:num>
  <w:num w:numId="2" w16cid:durableId="35765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10CED"/>
    <w:rsid w:val="00036C6D"/>
    <w:rsid w:val="00055A50"/>
    <w:rsid w:val="000602F9"/>
    <w:rsid w:val="000A3568"/>
    <w:rsid w:val="000A5E4E"/>
    <w:rsid w:val="000B3EB0"/>
    <w:rsid w:val="000D7498"/>
    <w:rsid w:val="000F7DB5"/>
    <w:rsid w:val="00127CB5"/>
    <w:rsid w:val="00132EE2"/>
    <w:rsid w:val="00156D26"/>
    <w:rsid w:val="001730B5"/>
    <w:rsid w:val="00174320"/>
    <w:rsid w:val="001B2ADC"/>
    <w:rsid w:val="00217104"/>
    <w:rsid w:val="002218D3"/>
    <w:rsid w:val="00236396"/>
    <w:rsid w:val="00255ADA"/>
    <w:rsid w:val="00281306"/>
    <w:rsid w:val="002923B4"/>
    <w:rsid w:val="002B2C99"/>
    <w:rsid w:val="002C3AEC"/>
    <w:rsid w:val="002D295E"/>
    <w:rsid w:val="0032281C"/>
    <w:rsid w:val="0032442B"/>
    <w:rsid w:val="0034043E"/>
    <w:rsid w:val="00356622"/>
    <w:rsid w:val="00361B2B"/>
    <w:rsid w:val="003A1385"/>
    <w:rsid w:val="003F04A9"/>
    <w:rsid w:val="00403670"/>
    <w:rsid w:val="00406D23"/>
    <w:rsid w:val="004211BA"/>
    <w:rsid w:val="00426537"/>
    <w:rsid w:val="00446F2F"/>
    <w:rsid w:val="00461B84"/>
    <w:rsid w:val="00466DDF"/>
    <w:rsid w:val="004820A2"/>
    <w:rsid w:val="004826C5"/>
    <w:rsid w:val="0049349E"/>
    <w:rsid w:val="004A6CB6"/>
    <w:rsid w:val="004B6F26"/>
    <w:rsid w:val="004C3612"/>
    <w:rsid w:val="004C5C9C"/>
    <w:rsid w:val="004F41D8"/>
    <w:rsid w:val="005042D1"/>
    <w:rsid w:val="00505EE2"/>
    <w:rsid w:val="0051713F"/>
    <w:rsid w:val="00551998"/>
    <w:rsid w:val="00551F4D"/>
    <w:rsid w:val="00561D08"/>
    <w:rsid w:val="00583275"/>
    <w:rsid w:val="005E440B"/>
    <w:rsid w:val="00602846"/>
    <w:rsid w:val="006254FA"/>
    <w:rsid w:val="00644F97"/>
    <w:rsid w:val="00646C79"/>
    <w:rsid w:val="006515C7"/>
    <w:rsid w:val="006A5AB5"/>
    <w:rsid w:val="006F2B00"/>
    <w:rsid w:val="006F4E57"/>
    <w:rsid w:val="00711513"/>
    <w:rsid w:val="0072324D"/>
    <w:rsid w:val="00752010"/>
    <w:rsid w:val="007A3E26"/>
    <w:rsid w:val="007A59E1"/>
    <w:rsid w:val="007B786E"/>
    <w:rsid w:val="007D3AFC"/>
    <w:rsid w:val="007E20B9"/>
    <w:rsid w:val="007F0231"/>
    <w:rsid w:val="007F1635"/>
    <w:rsid w:val="007F3D56"/>
    <w:rsid w:val="00810E22"/>
    <w:rsid w:val="00823D54"/>
    <w:rsid w:val="00841E23"/>
    <w:rsid w:val="0084259C"/>
    <w:rsid w:val="00845485"/>
    <w:rsid w:val="00847AF9"/>
    <w:rsid w:val="00857863"/>
    <w:rsid w:val="0086166B"/>
    <w:rsid w:val="008670E5"/>
    <w:rsid w:val="008677C3"/>
    <w:rsid w:val="00884507"/>
    <w:rsid w:val="008902F4"/>
    <w:rsid w:val="008A18A7"/>
    <w:rsid w:val="008D2A33"/>
    <w:rsid w:val="00902535"/>
    <w:rsid w:val="00913921"/>
    <w:rsid w:val="009359BC"/>
    <w:rsid w:val="00936DF7"/>
    <w:rsid w:val="00944128"/>
    <w:rsid w:val="00972705"/>
    <w:rsid w:val="00982C22"/>
    <w:rsid w:val="009843A6"/>
    <w:rsid w:val="0098511E"/>
    <w:rsid w:val="00A01B95"/>
    <w:rsid w:val="00A03076"/>
    <w:rsid w:val="00A4473C"/>
    <w:rsid w:val="00A47E3F"/>
    <w:rsid w:val="00A66E65"/>
    <w:rsid w:val="00A73B2C"/>
    <w:rsid w:val="00A76E13"/>
    <w:rsid w:val="00A8771E"/>
    <w:rsid w:val="00AA0D48"/>
    <w:rsid w:val="00AA3A2E"/>
    <w:rsid w:val="00AB3FD6"/>
    <w:rsid w:val="00AB4A2C"/>
    <w:rsid w:val="00AD4648"/>
    <w:rsid w:val="00AE592E"/>
    <w:rsid w:val="00B0057D"/>
    <w:rsid w:val="00B11812"/>
    <w:rsid w:val="00B12A25"/>
    <w:rsid w:val="00B12BFB"/>
    <w:rsid w:val="00B1714B"/>
    <w:rsid w:val="00B26B87"/>
    <w:rsid w:val="00B5632E"/>
    <w:rsid w:val="00B727FF"/>
    <w:rsid w:val="00B96BB3"/>
    <w:rsid w:val="00BA631A"/>
    <w:rsid w:val="00BC738D"/>
    <w:rsid w:val="00BD599F"/>
    <w:rsid w:val="00BF26D9"/>
    <w:rsid w:val="00BF5E5A"/>
    <w:rsid w:val="00C04978"/>
    <w:rsid w:val="00C916F7"/>
    <w:rsid w:val="00CA78AE"/>
    <w:rsid w:val="00CB6309"/>
    <w:rsid w:val="00D3538A"/>
    <w:rsid w:val="00D52AAD"/>
    <w:rsid w:val="00D72F95"/>
    <w:rsid w:val="00D80A2D"/>
    <w:rsid w:val="00D9766E"/>
    <w:rsid w:val="00DA23B6"/>
    <w:rsid w:val="00DC64F9"/>
    <w:rsid w:val="00DE06EC"/>
    <w:rsid w:val="00E00310"/>
    <w:rsid w:val="00E03991"/>
    <w:rsid w:val="00E03E7D"/>
    <w:rsid w:val="00E16CE3"/>
    <w:rsid w:val="00E17AC7"/>
    <w:rsid w:val="00E25156"/>
    <w:rsid w:val="00E337F3"/>
    <w:rsid w:val="00E6403C"/>
    <w:rsid w:val="00E73228"/>
    <w:rsid w:val="00E75590"/>
    <w:rsid w:val="00E90F92"/>
    <w:rsid w:val="00EA4445"/>
    <w:rsid w:val="00EA6570"/>
    <w:rsid w:val="00EB32FD"/>
    <w:rsid w:val="00EC4628"/>
    <w:rsid w:val="00EC5EBA"/>
    <w:rsid w:val="00ED5F1E"/>
    <w:rsid w:val="00EE3EE5"/>
    <w:rsid w:val="00EF199F"/>
    <w:rsid w:val="00F0402B"/>
    <w:rsid w:val="00F155C9"/>
    <w:rsid w:val="00F42A3F"/>
    <w:rsid w:val="00F5582B"/>
    <w:rsid w:val="00F56369"/>
    <w:rsid w:val="00F67771"/>
    <w:rsid w:val="00F736A5"/>
    <w:rsid w:val="00F76C62"/>
    <w:rsid w:val="00F92EE0"/>
    <w:rsid w:val="00F94008"/>
    <w:rsid w:val="00F959F8"/>
    <w:rsid w:val="00F9702D"/>
    <w:rsid w:val="00FB689D"/>
    <w:rsid w:val="00FC1D6D"/>
    <w:rsid w:val="00FF5A44"/>
    <w:rsid w:val="00FF73E7"/>
    <w:rsid w:val="00FF7B05"/>
    <w:rsid w:val="012DA07B"/>
    <w:rsid w:val="020255F6"/>
    <w:rsid w:val="046888AE"/>
    <w:rsid w:val="04C1555E"/>
    <w:rsid w:val="04DBAEF0"/>
    <w:rsid w:val="0882CE94"/>
    <w:rsid w:val="0E673F14"/>
    <w:rsid w:val="0E9D2588"/>
    <w:rsid w:val="200B0856"/>
    <w:rsid w:val="210AB52E"/>
    <w:rsid w:val="2C66F821"/>
    <w:rsid w:val="334FE05A"/>
    <w:rsid w:val="33E17217"/>
    <w:rsid w:val="45F83E3C"/>
    <w:rsid w:val="460C2DBE"/>
    <w:rsid w:val="4A273D5A"/>
    <w:rsid w:val="4A3CC91C"/>
    <w:rsid w:val="4AEF1DAB"/>
    <w:rsid w:val="55B46DBB"/>
    <w:rsid w:val="591989ED"/>
    <w:rsid w:val="596CD657"/>
    <w:rsid w:val="64C4A193"/>
    <w:rsid w:val="66D9CCB6"/>
    <w:rsid w:val="68142EFD"/>
    <w:rsid w:val="69499BC5"/>
    <w:rsid w:val="69D7D0B7"/>
    <w:rsid w:val="6B7BBA2D"/>
    <w:rsid w:val="765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EC8F"/>
  <w15:chartTrackingRefBased/>
  <w15:docId w15:val="{A39415DA-9233-4589-A9BA-EC5CB10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EE2"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72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A6385-39D6-428D-BFEB-0F423270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E6D7A-1829-4D10-9305-626789AB4042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364AD795-75CE-4E3A-8BCE-283641A5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Kent</dc:creator>
  <cp:keywords/>
  <dc:description/>
  <cp:lastModifiedBy>Mary Byrne</cp:lastModifiedBy>
  <cp:revision>2</cp:revision>
  <dcterms:created xsi:type="dcterms:W3CDTF">2026-06-02T14:15:00Z</dcterms:created>
  <dcterms:modified xsi:type="dcterms:W3CDTF">2026-06-02T14:15:00Z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